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32.77.039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Дятьково, Брянская область, г. Дятьково, ул. Фокина, 68/2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Людиново, Калужская область, г. Людиново, ул. Энгельса, д. 7/1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Жиздра, Калужская область, г. Жиздра, ул. Сосунова,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29К-011 "Людиново-Жиздра-М-3"Украина"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Шмидта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29К-011 "Людиново-Жиздра-М-3"Украина"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Лясоцкого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29Н-264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29К-004 "Брянск-Людиново-Киров"-А-130 "Москва-Малоярославец-Рославль"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15К-201 "Брянск-Дятьково" граница Калужской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Фокина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15К-201 "Брянск-Дятьково-граница Калужской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Бежицкая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